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15460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2835"/>
        <w:gridCol w:w="1568"/>
        <w:gridCol w:w="1285"/>
        <w:gridCol w:w="848"/>
        <w:gridCol w:w="2819"/>
        <w:gridCol w:w="2835"/>
        <w:gridCol w:w="9"/>
      </w:tblGrid>
      <w:tr w:rsidR="003619F9" w:rsidRPr="003619F9" w:rsidTr="0066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6296"/>
          </w:tcPr>
          <w:p w:rsidR="003619F9" w:rsidRPr="003619F9" w:rsidRDefault="003619F9" w:rsidP="00665DC4">
            <w:pPr>
              <w:pStyle w:val="TableRowHeading"/>
              <w:spacing w:before="120" w:after="120"/>
              <w:rPr>
                <w:rFonts w:ascii="Calibri" w:hAnsi="Calibri"/>
                <w:color w:val="006296"/>
              </w:rPr>
            </w:pPr>
            <w:bookmarkStart w:id="0" w:name="_GoBack"/>
            <w:bookmarkEnd w:id="0"/>
            <w:r w:rsidRPr="003619F9">
              <w:rPr>
                <w:rFonts w:ascii="Calibri" w:hAnsi="Calibri"/>
                <w:color w:val="FFFFFF" w:themeColor="background1"/>
                <w:sz w:val="22"/>
              </w:rPr>
              <w:t>RISK ASSESSMENT</w:t>
            </w:r>
          </w:p>
        </w:tc>
      </w:tr>
      <w:tr w:rsidR="003619F9" w:rsidRPr="003619F9" w:rsidTr="00665DC4">
        <w:trPr>
          <w:gridAfter w:val="1"/>
          <w:wAfter w:w="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Id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 xml:space="preserve">Description of Risk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Consequences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Consequence 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Likelihood rating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Risk 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Current Control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19F9" w:rsidRPr="003619F9" w:rsidRDefault="003619F9" w:rsidP="00665DC4">
            <w:pPr>
              <w:pStyle w:val="Table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6296"/>
              </w:rPr>
            </w:pPr>
            <w:r w:rsidRPr="003619F9">
              <w:rPr>
                <w:rFonts w:ascii="Calibri" w:hAnsi="Calibri"/>
                <w:color w:val="006296"/>
              </w:rPr>
              <w:t>Effectiveness of Current Controls</w:t>
            </w:r>
          </w:p>
        </w:tc>
      </w:tr>
      <w:tr w:rsidR="003619F9" w:rsidRPr="003619F9" w:rsidTr="00665D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2727" w:type="dxa"/>
            <w:tcBorders>
              <w:top w:val="none" w:sz="0" w:space="0" w:color="auto"/>
              <w:bottom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1568" w:type="dxa"/>
            <w:tcBorders>
              <w:top w:val="none" w:sz="0" w:space="0" w:color="auto"/>
              <w:bottom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848" w:type="dxa"/>
            <w:tcBorders>
              <w:top w:val="none" w:sz="0" w:space="0" w:color="auto"/>
              <w:bottom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D9D9D9" w:themeColor="background1" w:themeShade="D9"/>
              </w:rPr>
            </w:pPr>
          </w:p>
        </w:tc>
      </w:tr>
      <w:tr w:rsidR="003619F9" w:rsidRPr="003619F9" w:rsidTr="00665DC4">
        <w:trPr>
          <w:gridAfter w:val="1"/>
          <w:wAfter w:w="9" w:type="dxa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</w:rPr>
            </w:pPr>
          </w:p>
        </w:tc>
        <w:tc>
          <w:tcPr>
            <w:tcW w:w="2727" w:type="dxa"/>
          </w:tcPr>
          <w:p w:rsidR="003619F9" w:rsidRPr="003619F9" w:rsidRDefault="003619F9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</w:rPr>
            </w:pPr>
          </w:p>
        </w:tc>
        <w:tc>
          <w:tcPr>
            <w:tcW w:w="1568" w:type="dxa"/>
          </w:tcPr>
          <w:p w:rsidR="003619F9" w:rsidRPr="003619F9" w:rsidRDefault="003619F9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3619F9" w:rsidRPr="003619F9" w:rsidRDefault="003619F9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19F9" w:rsidRPr="003619F9" w:rsidRDefault="003619F9" w:rsidP="00665DC4">
            <w:pPr>
              <w:pStyle w:val="TableText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619F9" w:rsidRPr="003619F9" w:rsidRDefault="003619F9" w:rsidP="00665DC4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3619F9" w:rsidRDefault="003619F9" w:rsidP="00F53A4C">
      <w:pPr>
        <w:ind w:right="410"/>
        <w:rPr>
          <w:rFonts w:ascii="Frutiger LT 45 Light" w:hAnsi="Frutiger LT 45 Light"/>
        </w:rPr>
      </w:pPr>
    </w:p>
    <w:sectPr w:rsidR="003619F9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3619F9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RISK ASSESSMENT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3619F9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RISK ASSESSMENT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619F9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E61B5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459CE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C3E8-75A6-4461-901C-E8101F7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172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2017-06-27T02:52:00Z</dcterms:created>
  <dcterms:modified xsi:type="dcterms:W3CDTF">2017-06-27T02:52:00Z</dcterms:modified>
</cp:coreProperties>
</file>